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Jeśli dziecko ma wydane orzeczenie o potrzebie kształcenia specjalnego z powodu mutyzmu wybiórczego: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[Czy dziecko swobodnie rozmawia z rodzicem w szatni, a milknie po przekroczeniu progu sali?; Czy przedszkolak nawiązuje kontakt wzrokowy z nauczycielem, gdy ten do niego mówi?; Czy dziecko korzysta z toalety w przedszkolu i czy potrafi zasygnalizować potrzeby fizjologiczne (gestem, kartonikiem)?; Czy podczas zabaw ruchowych (np. w kole) dziecko bierze czynny udział, czy pozostaje nieruchome?]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