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uczeń/uczennica ma wydane orzeczenie o potrzebie kształcenia specjalnego z powodu niedosłuchu/słabego słuchu: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uczeń/uczennica systematycznie korzysta z aparatów słuchowych/procesora mowy w szkole?; W jakim stopniu uczeń/uczennica reaguje na sygnały dźwiękowe i mowę z różnych odległości (z aparatem i bez)?; Jak uczeń/uczennica radzi sobie z rozumieniem mowy w hałasie (np. na przerwie, podczas pracy grupowej)?]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