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528BE" w:rsidRDefault="00693F2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Jeśli dziecko ma wydane orzeczenie o potrzebie kształcenia specjalnego z powodu niedosłuchu/słabego słuchu:</w:t>
      </w:r>
    </w:p>
    <w:p w14:paraId="00000002" w14:textId="77777777" w:rsidR="001528BE" w:rsidRDefault="00693F26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dziecko odwraca głowę w kierunku źródła dźwięku (np. gdy nauczyciel woła je z boku)?; Czy przedszkolak reaguje na polecenia wydawane szeptem lub z innej części sali?; Czy dziecko bawi się dźwiękami, naśladuje odgłosy zwierząt/pojazdów w sposób adekwat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ny?; Jak dziecko reaguje na awarię aparatu (czy potrafi zasygnalizować dyskomfort, czy staje się niespokojne)?</w:t>
      </w:r>
    </w:p>
    <w:p w14:paraId="00000003" w14:textId="77777777" w:rsidR="001528BE" w:rsidRDefault="00693F2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4" w14:textId="77777777" w:rsidR="001528BE" w:rsidRDefault="001528B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E15F2C" w14:textId="448064A3" w:rsidR="00693F26" w:rsidRDefault="00693F26" w:rsidP="00693F2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Metody komunikacji oraz stosowanie urządzeń i rozwiązań technicznych służących do porozumiewania się </w:t>
      </w:r>
    </w:p>
    <w:p w14:paraId="4F0CF7D2" w14:textId="015C38A3" w:rsidR="00693F26" w:rsidRDefault="00693F26" w:rsidP="00693F26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Z jakich urządzeń wspomagających słyszenie korzysta dziecko (aparat słuchowy/implant ślimakowy/inne) i od kiedy? Jak przebiega(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ło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) przystosowanie się dziecka do korzystania z nich? W jaki sposób przedszkolak się komunikuje (mowa, język migowy,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fonogesty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, inne?)]</w:t>
      </w:r>
    </w:p>
    <w:p w14:paraId="3F8C0F27" w14:textId="77777777" w:rsidR="00693F26" w:rsidRDefault="00693F26" w:rsidP="00693F26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5" w14:textId="77777777" w:rsidR="001528BE" w:rsidRDefault="001528BE"/>
    <w:sectPr w:rsidR="001528BE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61F99ED-C6FE-4F3E-BB87-1F5168C260A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4A78636-90A0-44FA-94DA-07B0115460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E"/>
    <w:rsid w:val="001528BE"/>
    <w:rsid w:val="0069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5B6B2-64DF-41D7-8954-61A1EEAD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Laptop</cp:lastModifiedBy>
  <cp:revision>2</cp:revision>
  <dcterms:created xsi:type="dcterms:W3CDTF">2026-04-07T12:08:00Z</dcterms:created>
  <dcterms:modified xsi:type="dcterms:W3CDTF">2026-04-07T12:15:00Z</dcterms:modified>
</cp:coreProperties>
</file>